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F362EC" w:rsidRDefault="00F362EC" w:rsidP="001B7DD6"/>
    <w:p w:rsidR="00F362EC" w:rsidRDefault="00F362EC" w:rsidP="001B7DD6"/>
    <w:p w:rsidR="00F362EC" w:rsidRDefault="00F362EC" w:rsidP="001B7DD6"/>
    <w:p w:rsidR="001B7DD6" w:rsidRDefault="001B7DD6" w:rsidP="001B7DD6"/>
    <w:p w:rsidR="001B7DD6" w:rsidRPr="001B7DD6" w:rsidRDefault="001B7DD6" w:rsidP="001B7DD6">
      <w:pPr>
        <w:jc w:val="center"/>
        <w:rPr>
          <w:b/>
          <w:sz w:val="52"/>
        </w:rPr>
      </w:pPr>
      <w:r w:rsidRPr="001B7DD6">
        <w:rPr>
          <w:b/>
          <w:sz w:val="52"/>
        </w:rPr>
        <w:t>DIPLOMADO</w:t>
      </w:r>
    </w:p>
    <w:p w:rsidR="001B7DD6" w:rsidRPr="001B7DD6" w:rsidRDefault="001B7DD6" w:rsidP="001B7DD6">
      <w:pPr>
        <w:jc w:val="center"/>
        <w:rPr>
          <w:b/>
          <w:sz w:val="52"/>
        </w:rPr>
      </w:pPr>
      <w:r>
        <w:rPr>
          <w:b/>
          <w:sz w:val="52"/>
        </w:rPr>
        <w:t>“</w:t>
      </w:r>
      <w:r w:rsidRPr="001B7DD6">
        <w:rPr>
          <w:b/>
          <w:sz w:val="52"/>
        </w:rPr>
        <w:t>ESTADO Y PARLAMENTO</w:t>
      </w:r>
      <w:r>
        <w:rPr>
          <w:b/>
          <w:sz w:val="52"/>
        </w:rPr>
        <w:t>”</w:t>
      </w:r>
    </w:p>
    <w:p w:rsidR="001B7DD6" w:rsidRPr="001B7DD6" w:rsidRDefault="001B7DD6" w:rsidP="001B7DD6">
      <w:pPr>
        <w:jc w:val="center"/>
        <w:rPr>
          <w:b/>
          <w:sz w:val="52"/>
        </w:rPr>
      </w:pPr>
    </w:p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/>
    <w:p w:rsidR="001B7DD6" w:rsidRDefault="001B7DD6" w:rsidP="001B7DD6">
      <w:pPr>
        <w:jc w:val="right"/>
        <w:rPr>
          <w:rFonts w:eastAsia="Times New Roman"/>
          <w:szCs w:val="24"/>
          <w:lang w:eastAsia="es-ES"/>
        </w:rPr>
      </w:pPr>
      <w:r w:rsidRPr="001B7DD6">
        <w:rPr>
          <w:b/>
          <w:sz w:val="24"/>
        </w:rPr>
        <w:t>FEBRERO</w:t>
      </w:r>
      <w:r>
        <w:rPr>
          <w:b/>
          <w:sz w:val="24"/>
        </w:rPr>
        <w:t xml:space="preserve"> </w:t>
      </w:r>
      <w:r w:rsidRPr="001B7DD6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1B7DD6">
        <w:rPr>
          <w:b/>
          <w:sz w:val="24"/>
        </w:rPr>
        <w:t xml:space="preserve">MAYO </w:t>
      </w:r>
      <w:r>
        <w:rPr>
          <w:b/>
          <w:sz w:val="24"/>
        </w:rPr>
        <w:t xml:space="preserve"> </w:t>
      </w:r>
      <w:r w:rsidRPr="001B7DD6">
        <w:rPr>
          <w:b/>
          <w:sz w:val="24"/>
        </w:rPr>
        <w:t>2016</w:t>
      </w:r>
      <w:r>
        <w:br w:type="page"/>
      </w:r>
    </w:p>
    <w:p w:rsidR="001B7DD6" w:rsidRDefault="001B7DD6" w:rsidP="001B7DD6">
      <w:pPr>
        <w:pStyle w:val="Ttulo1"/>
        <w:rPr>
          <w:rFonts w:ascii="Arial" w:hAnsi="Arial" w:cs="Arial"/>
          <w:sz w:val="32"/>
        </w:rPr>
      </w:pPr>
    </w:p>
    <w:p w:rsidR="001B7DD6" w:rsidRDefault="001B7DD6" w:rsidP="001B7DD6">
      <w:pPr>
        <w:pStyle w:val="Ttulo1"/>
        <w:rPr>
          <w:rFonts w:ascii="Arial" w:hAnsi="Arial" w:cs="Arial"/>
          <w:sz w:val="32"/>
        </w:rPr>
      </w:pPr>
    </w:p>
    <w:p w:rsidR="001B7DD6" w:rsidRPr="0071559D" w:rsidRDefault="001B7DD6" w:rsidP="001B7DD6">
      <w:pPr>
        <w:pStyle w:val="Ttulo1"/>
        <w:rPr>
          <w:rFonts w:ascii="Arial" w:hAnsi="Arial" w:cs="Arial"/>
          <w:sz w:val="32"/>
        </w:rPr>
      </w:pPr>
      <w:r w:rsidRPr="0071559D">
        <w:rPr>
          <w:rFonts w:ascii="Arial" w:hAnsi="Arial" w:cs="Arial"/>
          <w:sz w:val="32"/>
        </w:rPr>
        <w:t>Contenido</w:t>
      </w:r>
    </w:p>
    <w:p w:rsidR="001B7DD6" w:rsidRPr="0071559D" w:rsidRDefault="001B7DD6" w:rsidP="001B7DD6">
      <w:pPr>
        <w:rPr>
          <w:sz w:val="32"/>
          <w:lang w:eastAsia="es-ES"/>
        </w:rPr>
      </w:pPr>
    </w:p>
    <w:p w:rsidR="001B7DD6" w:rsidRDefault="001B7DD6" w:rsidP="001B7DD6">
      <w:pPr>
        <w:rPr>
          <w:sz w:val="32"/>
          <w:lang w:eastAsia="es-ES"/>
        </w:rPr>
      </w:pPr>
    </w:p>
    <w:p w:rsidR="001B7DD6" w:rsidRPr="0071559D" w:rsidRDefault="001B7DD6" w:rsidP="001B7DD6">
      <w:pPr>
        <w:rPr>
          <w:sz w:val="32"/>
          <w:lang w:eastAsia="es-ES"/>
        </w:rPr>
      </w:pPr>
    </w:p>
    <w:p w:rsidR="001B7DD6" w:rsidRPr="0071559D" w:rsidRDefault="001B7DD6" w:rsidP="001B7DD6">
      <w:pPr>
        <w:pStyle w:val="Prrafodelista"/>
        <w:numPr>
          <w:ilvl w:val="0"/>
          <w:numId w:val="6"/>
        </w:numPr>
        <w:spacing w:after="160" w:line="720" w:lineRule="auto"/>
        <w:rPr>
          <w:rFonts w:ascii="Arial" w:hAnsi="Arial" w:cs="Arial"/>
          <w:b/>
          <w:sz w:val="28"/>
          <w:lang w:eastAsia="es-ES"/>
        </w:rPr>
      </w:pPr>
      <w:r w:rsidRPr="0071559D">
        <w:rPr>
          <w:rFonts w:ascii="Arial" w:hAnsi="Arial" w:cs="Arial"/>
          <w:b/>
          <w:sz w:val="28"/>
          <w:lang w:eastAsia="es-ES"/>
        </w:rPr>
        <w:t>Programa Diplomado “Estado y Parlamento”</w:t>
      </w:r>
      <w:r>
        <w:rPr>
          <w:rFonts w:ascii="Arial" w:hAnsi="Arial" w:cs="Arial"/>
          <w:b/>
          <w:sz w:val="28"/>
          <w:lang w:eastAsia="es-ES"/>
        </w:rPr>
        <w:t>………</w:t>
      </w:r>
      <w:r>
        <w:rPr>
          <w:rFonts w:ascii="Arial" w:hAnsi="Arial" w:cs="Arial"/>
          <w:b/>
          <w:sz w:val="28"/>
          <w:lang w:eastAsia="es-ES"/>
        </w:rPr>
        <w:tab/>
        <w:t>pág.3</w:t>
      </w:r>
    </w:p>
    <w:p w:rsidR="001B7DD6" w:rsidRPr="0071559D" w:rsidRDefault="001B7DD6" w:rsidP="001B7DD6">
      <w:pPr>
        <w:pStyle w:val="Prrafodelista"/>
        <w:numPr>
          <w:ilvl w:val="0"/>
          <w:numId w:val="6"/>
        </w:numPr>
        <w:spacing w:after="160" w:line="720" w:lineRule="auto"/>
        <w:rPr>
          <w:rFonts w:ascii="Arial" w:hAnsi="Arial" w:cs="Arial"/>
          <w:b/>
          <w:sz w:val="28"/>
          <w:lang w:eastAsia="es-ES"/>
        </w:rPr>
      </w:pPr>
      <w:r w:rsidRPr="0071559D">
        <w:rPr>
          <w:rFonts w:ascii="Arial" w:hAnsi="Arial" w:cs="Arial"/>
          <w:b/>
          <w:sz w:val="28"/>
          <w:lang w:eastAsia="es-ES"/>
        </w:rPr>
        <w:t>Calendario…</w:t>
      </w:r>
      <w:r>
        <w:rPr>
          <w:rFonts w:ascii="Arial" w:hAnsi="Arial" w:cs="Arial"/>
          <w:b/>
          <w:sz w:val="28"/>
          <w:lang w:eastAsia="es-ES"/>
        </w:rPr>
        <w:t>……………………………………………….</w:t>
      </w:r>
      <w:r>
        <w:rPr>
          <w:rFonts w:ascii="Arial" w:hAnsi="Arial" w:cs="Arial"/>
          <w:b/>
          <w:sz w:val="28"/>
          <w:lang w:eastAsia="es-ES"/>
        </w:rPr>
        <w:tab/>
        <w:t>pág. 9</w:t>
      </w:r>
    </w:p>
    <w:p w:rsidR="001B7DD6" w:rsidRPr="0071559D" w:rsidRDefault="001B7DD6" w:rsidP="001B7DD6">
      <w:pPr>
        <w:spacing w:line="720" w:lineRule="auto"/>
        <w:rPr>
          <w:rFonts w:eastAsia="Times New Roman"/>
          <w:b/>
          <w:szCs w:val="24"/>
          <w:lang w:eastAsia="es-ES"/>
        </w:rPr>
      </w:pPr>
      <w:r w:rsidRPr="0071559D">
        <w:rPr>
          <w:b/>
        </w:rPr>
        <w:br w:type="page"/>
      </w:r>
    </w:p>
    <w:p w:rsidR="001B7DD6" w:rsidRPr="00905FEF" w:rsidRDefault="00E33CEC" w:rsidP="001B7DD6">
      <w:pPr>
        <w:pStyle w:val="Ttulo1"/>
        <w:rPr>
          <w:rFonts w:ascii="Arial" w:hAnsi="Arial" w:cs="Arial"/>
          <w:i w:val="0"/>
          <w:sz w:val="24"/>
        </w:rPr>
      </w:pPr>
      <w:r w:rsidRPr="00905FEF">
        <w:rPr>
          <w:rFonts w:ascii="Arial" w:hAnsi="Arial" w:cs="Arial"/>
          <w:sz w:val="24"/>
        </w:rPr>
        <w:lastRenderedPageBreak/>
        <w:t>DIPLOMADO ESTADO Y PARLAMENTO</w:t>
      </w:r>
    </w:p>
    <w:p w:rsidR="00E33CEC" w:rsidRDefault="00E33CEC" w:rsidP="001B7DD6">
      <w:pPr>
        <w:jc w:val="center"/>
      </w:pPr>
    </w:p>
    <w:p w:rsidR="001B7DD6" w:rsidRPr="00E33CEC" w:rsidRDefault="001B7DD6" w:rsidP="00E33CEC">
      <w:pPr>
        <w:jc w:val="center"/>
        <w:rPr>
          <w:rFonts w:ascii="Century Gothic" w:hAnsi="Century Gothic"/>
          <w:b/>
          <w:sz w:val="24"/>
          <w:szCs w:val="24"/>
          <w:lang w:eastAsia="es-ES"/>
        </w:rPr>
      </w:pPr>
      <w:r w:rsidRPr="00E33CEC">
        <w:rPr>
          <w:rFonts w:ascii="Century Gothic" w:hAnsi="Century Gothic"/>
          <w:b/>
          <w:sz w:val="24"/>
          <w:szCs w:val="24"/>
        </w:rPr>
        <w:t>PROGRAMA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b/>
          <w:sz w:val="24"/>
          <w:szCs w:val="24"/>
        </w:rPr>
        <w:t>Presentación:</w:t>
      </w:r>
      <w:r w:rsidRPr="00E33CEC">
        <w:rPr>
          <w:rFonts w:ascii="Century Gothic" w:hAnsi="Century Gothic"/>
          <w:sz w:val="24"/>
          <w:szCs w:val="24"/>
        </w:rPr>
        <w:t xml:space="preserve"> La globalización y la crisis del Estado de bienestar, como fenómenos concurrentes, modificaron todos los ámbitos de la sociedad, más allá de la esfera económica: han provocado un viraje en el comportamiento individual, de las organizaciones y de las instituciones públicas, y han sido causa del cambio de estructuras y funciones en el propio aparato estatal.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Los modelos de gobierno, de administración pública e impartición de justicia, que se promueven en la época tienen raíces en diversas teorías de las ciencias sociales, la economía y la propia administración pública, con un común denominador: el Estado democrático de derecho.</w:t>
      </w:r>
      <w:r w:rsidRPr="00E33CEC">
        <w:rPr>
          <w:rStyle w:val="Refdenotaalpie"/>
          <w:rFonts w:ascii="Century Gothic" w:hAnsi="Century Gothic"/>
          <w:sz w:val="24"/>
          <w:szCs w:val="24"/>
        </w:rPr>
        <w:footnoteReference w:id="1"/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El presente diplomado impartido por el CEDIP, dirigido a legisladores locales, cuerpos técnicos, universitarios e interesados en conocer el impacto de las nuevas tendencias doctrinales en la vida pública y el aparato estatal, incluido el Parlamento.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b/>
          <w:sz w:val="24"/>
          <w:szCs w:val="24"/>
        </w:rPr>
        <w:t>Objetivo:</w:t>
      </w:r>
      <w:r w:rsidRPr="00E33CEC">
        <w:rPr>
          <w:rFonts w:ascii="Century Gothic" w:hAnsi="Century Gothic"/>
          <w:sz w:val="24"/>
          <w:szCs w:val="24"/>
        </w:rPr>
        <w:t xml:space="preserve"> Fortalecer la visión académica de legisladores locales, cuerpos técnicos y universitarios de las entidades federativas, en el ámbito de las nuevas doctrinas que alimentan las formas de accionar del Estado en las sociedades contemporáneas: Neo institucionalismo, Neo Constitucionalismo, </w:t>
      </w:r>
      <w:proofErr w:type="spellStart"/>
      <w:r w:rsidRPr="00E33CEC">
        <w:rPr>
          <w:rFonts w:ascii="Century Gothic" w:hAnsi="Century Gothic"/>
          <w:sz w:val="24"/>
          <w:szCs w:val="24"/>
        </w:rPr>
        <w:t>Garantismo</w:t>
      </w:r>
      <w:proofErr w:type="spellEnd"/>
      <w:r w:rsidRPr="00E33CEC">
        <w:rPr>
          <w:rFonts w:ascii="Century Gothic" w:hAnsi="Century Gothic"/>
          <w:sz w:val="24"/>
          <w:szCs w:val="24"/>
        </w:rPr>
        <w:t>, Democracia Deliberativa, Análisis de Políticas Públicas y Nueva Gestión Pública, entre otras.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En el ámbito específico del parlamentarismo, se recrean las tendencias hemisféricas de los parlamentos y de manera destacada el compromiso </w:t>
      </w:r>
      <w:proofErr w:type="gramStart"/>
      <w:r w:rsidRPr="00E33CEC">
        <w:rPr>
          <w:rFonts w:ascii="Century Gothic" w:hAnsi="Century Gothic"/>
          <w:sz w:val="24"/>
          <w:szCs w:val="24"/>
        </w:rPr>
        <w:t>con</w:t>
      </w:r>
      <w:proofErr w:type="gramEnd"/>
      <w:r w:rsidRPr="00E33CEC">
        <w:rPr>
          <w:rFonts w:ascii="Century Gothic" w:hAnsi="Century Gothic"/>
          <w:sz w:val="24"/>
          <w:szCs w:val="24"/>
        </w:rPr>
        <w:t xml:space="preserve"> los Derechos Humanos, de acuerdo a la convencionalidad internacional que campea hoy en Occidente.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Cada módulo es impartido por un investigador del CEDIP o los otros Centros de Estudio de Cámara de Diputados, conforme a la especialidad del tema, y también se han incorporado como expositores diputados, funcionarios de la propia Cámara y académicos externos.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Horario: El diplomado consta de 10 módulos a impartirse uno por semana, los sábados de 10 a 14 horas.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b/>
          <w:sz w:val="24"/>
          <w:szCs w:val="24"/>
        </w:rPr>
      </w:pPr>
      <w:r w:rsidRPr="00E33CEC">
        <w:rPr>
          <w:rFonts w:ascii="Century Gothic" w:hAnsi="Century Gothic"/>
          <w:b/>
          <w:sz w:val="24"/>
          <w:szCs w:val="24"/>
        </w:rPr>
        <w:t>Temario: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MÓDULO I. Estado y Democracia.</w:t>
      </w:r>
    </w:p>
    <w:p w:rsidR="001B7DD6" w:rsidRPr="00E33CEC" w:rsidRDefault="001B7DD6" w:rsidP="00E33CEC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. Globalización</w:t>
      </w:r>
    </w:p>
    <w:p w:rsidR="001B7DD6" w:rsidRPr="00E33CEC" w:rsidRDefault="001B7DD6" w:rsidP="00E33CEC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1. Concepto</w:t>
      </w:r>
    </w:p>
    <w:p w:rsidR="001B7DD6" w:rsidRPr="00E33CEC" w:rsidRDefault="001B7DD6" w:rsidP="00E33CEC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1.1.2. Efectos de la globalización </w:t>
      </w:r>
    </w:p>
    <w:p w:rsidR="001B7DD6" w:rsidRPr="00E33CEC" w:rsidRDefault="001B7DD6" w:rsidP="00E33CEC">
      <w:pPr>
        <w:pStyle w:val="Prrafodelista"/>
        <w:spacing w:line="360" w:lineRule="auto"/>
        <w:ind w:left="79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A) Económico</w:t>
      </w:r>
    </w:p>
    <w:p w:rsidR="001B7DD6" w:rsidRPr="00E33CEC" w:rsidRDefault="001B7DD6" w:rsidP="00E33CEC">
      <w:pPr>
        <w:pStyle w:val="Prrafodelista"/>
        <w:spacing w:line="360" w:lineRule="auto"/>
        <w:ind w:left="79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B) Cultural</w:t>
      </w:r>
    </w:p>
    <w:p w:rsidR="001B7DD6" w:rsidRPr="00E33CEC" w:rsidRDefault="001B7DD6" w:rsidP="00E33CEC">
      <w:pPr>
        <w:pStyle w:val="Prrafodelista"/>
        <w:spacing w:line="360" w:lineRule="auto"/>
        <w:ind w:left="79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C) Derecho</w:t>
      </w:r>
    </w:p>
    <w:p w:rsidR="001B7DD6" w:rsidRPr="00E33CEC" w:rsidRDefault="001B7DD6" w:rsidP="00E33CEC">
      <w:pPr>
        <w:pStyle w:val="Prrafodelista"/>
        <w:spacing w:line="360" w:lineRule="auto"/>
        <w:ind w:left="79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D) Político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1.2. Estado de Bienestar</w:t>
      </w:r>
    </w:p>
    <w:p w:rsidR="001B7DD6" w:rsidRPr="00E33CEC" w:rsidRDefault="001B7DD6" w:rsidP="00E33CEC">
      <w:pPr>
        <w:pStyle w:val="Prrafodelista"/>
        <w:spacing w:line="360" w:lineRule="auto"/>
        <w:ind w:left="405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1.2.1. Surgimiento</w:t>
      </w:r>
    </w:p>
    <w:p w:rsidR="001B7DD6" w:rsidRPr="00E33CEC" w:rsidRDefault="001B7DD6" w:rsidP="00E33CEC">
      <w:pPr>
        <w:pStyle w:val="Prrafodelista"/>
        <w:spacing w:line="360" w:lineRule="auto"/>
        <w:ind w:left="405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1.2.2. Características</w:t>
      </w:r>
    </w:p>
    <w:p w:rsidR="001B7DD6" w:rsidRPr="00E33CEC" w:rsidRDefault="001B7DD6" w:rsidP="00E33CEC">
      <w:pPr>
        <w:pStyle w:val="Prrafodelista"/>
        <w:spacing w:line="360" w:lineRule="auto"/>
        <w:ind w:left="405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1.2.3. Crisis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1.3. Reformas Estructurales</w:t>
      </w:r>
    </w:p>
    <w:p w:rsidR="001B7DD6" w:rsidRPr="00E33CEC" w:rsidRDefault="001B7DD6" w:rsidP="00E33CEC">
      <w:pPr>
        <w:pStyle w:val="Prrafodelista"/>
        <w:spacing w:line="360" w:lineRule="auto"/>
        <w:ind w:left="405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1.3.1. 1era Generación</w:t>
      </w:r>
    </w:p>
    <w:p w:rsidR="001B7DD6" w:rsidRPr="00E33CEC" w:rsidRDefault="001B7DD6" w:rsidP="00E33CEC">
      <w:pPr>
        <w:pStyle w:val="Prrafodelista"/>
        <w:spacing w:line="360" w:lineRule="auto"/>
        <w:ind w:left="405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1.3.2. 2da Generación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MÓDULO II. Estado Contemporáneo y su contexto doctrinal </w:t>
      </w:r>
    </w:p>
    <w:p w:rsidR="001B7DD6" w:rsidRPr="00E33CEC" w:rsidRDefault="001B7DD6" w:rsidP="00E33CEC">
      <w:pPr>
        <w:pStyle w:val="Prrafodelista"/>
        <w:spacing w:line="360" w:lineRule="auto"/>
        <w:ind w:left="0" w:firstLine="14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2.1. Neo institucionalismo</w:t>
      </w:r>
    </w:p>
    <w:p w:rsidR="001B7DD6" w:rsidRPr="00E33CEC" w:rsidRDefault="001B7DD6" w:rsidP="00E33CEC">
      <w:pPr>
        <w:pStyle w:val="Prrafodelista"/>
        <w:spacing w:line="360" w:lineRule="auto"/>
        <w:ind w:left="0" w:firstLine="14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2.2. Neo constitucionalismo </w:t>
      </w:r>
    </w:p>
    <w:p w:rsidR="001B7DD6" w:rsidRPr="00E33CEC" w:rsidRDefault="001B7DD6" w:rsidP="00E33CEC">
      <w:pPr>
        <w:pStyle w:val="Prrafodelista"/>
        <w:spacing w:line="360" w:lineRule="auto"/>
        <w:ind w:left="0" w:firstLine="14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2.3. Democracia deliberativa</w:t>
      </w:r>
    </w:p>
    <w:p w:rsidR="001B7DD6" w:rsidRPr="00E33CEC" w:rsidRDefault="001B7DD6" w:rsidP="00E33CEC">
      <w:pPr>
        <w:pStyle w:val="Prrafodelista"/>
        <w:spacing w:line="360" w:lineRule="auto"/>
        <w:ind w:left="0" w:firstLine="14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2.4. Gobernanza</w:t>
      </w:r>
    </w:p>
    <w:p w:rsidR="001B7DD6" w:rsidRPr="00E33CEC" w:rsidRDefault="001B7DD6" w:rsidP="00E33CEC">
      <w:pPr>
        <w:pStyle w:val="Prrafodelista"/>
        <w:spacing w:line="360" w:lineRule="auto"/>
        <w:ind w:left="0" w:firstLine="14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lastRenderedPageBreak/>
        <w:t>2.5. Nueva Gestión Pública</w:t>
      </w:r>
    </w:p>
    <w:p w:rsidR="001B7DD6" w:rsidRPr="00E33CEC" w:rsidRDefault="001B7DD6" w:rsidP="00E33CEC">
      <w:pPr>
        <w:pStyle w:val="Prrafodelista"/>
        <w:spacing w:line="360" w:lineRule="auto"/>
        <w:ind w:left="0" w:firstLine="142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2.6. Gobierno abierto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MÓDULO III. Funciones Generales del Parlamento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pStyle w:val="Prrafodelista"/>
        <w:numPr>
          <w:ilvl w:val="1"/>
          <w:numId w:val="3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. Teoría general del control.</w:t>
      </w:r>
    </w:p>
    <w:p w:rsidR="001B7DD6" w:rsidRPr="00E33CEC" w:rsidRDefault="001B7DD6" w:rsidP="00E33CEC">
      <w:pPr>
        <w:pStyle w:val="Prrafodelista"/>
        <w:numPr>
          <w:ilvl w:val="1"/>
          <w:numId w:val="3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. Teoría general del Parlamento.</w:t>
      </w:r>
    </w:p>
    <w:p w:rsidR="001B7DD6" w:rsidRPr="00E33CEC" w:rsidRDefault="001B7DD6" w:rsidP="00E33CEC">
      <w:pPr>
        <w:pStyle w:val="Prrafodelista"/>
        <w:numPr>
          <w:ilvl w:val="1"/>
          <w:numId w:val="3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. Función de Orientación O Dirección Política.</w:t>
      </w:r>
    </w:p>
    <w:p w:rsidR="001B7DD6" w:rsidRPr="00E33CEC" w:rsidRDefault="001B7DD6" w:rsidP="00E33CEC">
      <w:pPr>
        <w:pStyle w:val="Prrafodelista"/>
        <w:numPr>
          <w:ilvl w:val="1"/>
          <w:numId w:val="3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. Control para jurisdiccional. </w:t>
      </w:r>
    </w:p>
    <w:p w:rsidR="001B7DD6" w:rsidRPr="00E33CEC" w:rsidRDefault="001B7DD6" w:rsidP="00E33CEC">
      <w:pPr>
        <w:pStyle w:val="Prrafodelista"/>
        <w:numPr>
          <w:ilvl w:val="1"/>
          <w:numId w:val="3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. Control financiero y presupuestal.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MODULO IV. Perspectivas hemisféricas del Parlamento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4.1. El Parlamento Hoy 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4.2. El Parlamento en México 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4.3. Paradoja democrática.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4.4. Características del Parlamento democrático</w:t>
      </w:r>
    </w:p>
    <w:p w:rsidR="001B7DD6" w:rsidRPr="00E33CEC" w:rsidRDefault="001B7DD6" w:rsidP="00E33CEC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Representativo</w:t>
      </w:r>
    </w:p>
    <w:p w:rsidR="001B7DD6" w:rsidRPr="00E33CEC" w:rsidRDefault="001B7DD6" w:rsidP="00E33CEC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Abierto y transparente</w:t>
      </w:r>
    </w:p>
    <w:p w:rsidR="001B7DD6" w:rsidRPr="00E33CEC" w:rsidRDefault="001B7DD6" w:rsidP="00E33CEC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Accesible</w:t>
      </w:r>
    </w:p>
    <w:p w:rsidR="001B7DD6" w:rsidRPr="00E33CEC" w:rsidRDefault="001B7DD6" w:rsidP="00E33CEC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Responsable</w:t>
      </w:r>
    </w:p>
    <w:p w:rsidR="001B7DD6" w:rsidRPr="00E33CEC" w:rsidRDefault="001B7DD6" w:rsidP="00E33CEC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Eficaz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4.5 Parlamento futuro</w:t>
      </w:r>
    </w:p>
    <w:p w:rsidR="001B7DD6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E33CEC" w:rsidRDefault="00E33CEC" w:rsidP="00E33CEC">
      <w:pPr>
        <w:jc w:val="both"/>
        <w:rPr>
          <w:rFonts w:ascii="Century Gothic" w:hAnsi="Century Gothic"/>
          <w:sz w:val="24"/>
          <w:szCs w:val="24"/>
        </w:rPr>
      </w:pPr>
    </w:p>
    <w:p w:rsidR="00E33CEC" w:rsidRDefault="00E33CEC" w:rsidP="00E33CEC">
      <w:pPr>
        <w:jc w:val="both"/>
        <w:rPr>
          <w:rFonts w:ascii="Century Gothic" w:hAnsi="Century Gothic"/>
          <w:sz w:val="24"/>
          <w:szCs w:val="24"/>
        </w:rPr>
      </w:pPr>
    </w:p>
    <w:p w:rsidR="00E33CEC" w:rsidRPr="00E33CEC" w:rsidRDefault="00E33CEC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lastRenderedPageBreak/>
        <w:t>MÓDULO V. Obligatoriedad de los Tratados Internacionales en Materia de Derechos Humanos para el Poder Legislativo.</w:t>
      </w:r>
    </w:p>
    <w:p w:rsidR="001B7DD6" w:rsidRPr="00E33CEC" w:rsidRDefault="001B7DD6" w:rsidP="00E33CEC">
      <w:pPr>
        <w:spacing w:line="240" w:lineRule="auto"/>
        <w:ind w:right="1418"/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ind w:right="141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5.1. Introducción. </w:t>
      </w:r>
    </w:p>
    <w:p w:rsidR="001B7DD6" w:rsidRPr="00E33CEC" w:rsidRDefault="001B7DD6" w:rsidP="00E33CEC">
      <w:pPr>
        <w:ind w:right="141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5.2. Derecho internacional público </w:t>
      </w:r>
    </w:p>
    <w:p w:rsidR="001B7DD6" w:rsidRPr="00E33CEC" w:rsidRDefault="001B7DD6" w:rsidP="00E33CEC">
      <w:pPr>
        <w:ind w:right="141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5.3. Derechos fundamentales y derechos humanos </w:t>
      </w:r>
    </w:p>
    <w:p w:rsidR="001B7DD6" w:rsidRPr="00E33CEC" w:rsidRDefault="001B7DD6" w:rsidP="00E33CEC">
      <w:pPr>
        <w:ind w:right="141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5.4. Sistemas de protección de los derechos humanos </w:t>
      </w:r>
    </w:p>
    <w:p w:rsidR="001B7DD6" w:rsidRPr="00E33CEC" w:rsidRDefault="001B7DD6" w:rsidP="00E33CEC">
      <w:pPr>
        <w:ind w:right="141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5.5. Tratados internacionales en materia de derechos humanos y el Poder Legislativo 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5.6. ¿Desplazamiento de la soberanía nacional y supremacía constitucional por una soberanía supranacional y supremacía convencional?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MÓDULO VI. Finanzas Públicas Estatales y Municipales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6.1. Conceptualización básica de elementos que las integran y marco teórico de las finanzas públicas estatales y municipales.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6.2. Federalismo fiscal</w:t>
      </w:r>
    </w:p>
    <w:p w:rsidR="001B7DD6" w:rsidRPr="00E33CEC" w:rsidRDefault="001B7DD6" w:rsidP="00E33CEC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6.2.1. Elementos básicos del federalismo</w:t>
      </w:r>
    </w:p>
    <w:p w:rsidR="001B7DD6" w:rsidRPr="00E33CEC" w:rsidRDefault="001B7DD6" w:rsidP="00E33CEC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6.2.2. Principios de asignación de recursos federalizados</w:t>
      </w:r>
    </w:p>
    <w:p w:rsidR="001B7DD6" w:rsidRPr="00E33CEC" w:rsidRDefault="001B7DD6" w:rsidP="00E33CEC">
      <w:pPr>
        <w:ind w:left="1418" w:hanging="71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6.2.3. Mecanismos e instrumentos de transferencia: participaciones, aportaciones, convenios y fondos para proyectos de inversión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6.3. Proceso de integración presupuestal y su marco jurídico-normativo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6.4. Esbozo de técnicas para la formulación del presupuesto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6.5. Formas de Presentación del presupuesto</w:t>
      </w:r>
    </w:p>
    <w:p w:rsidR="001B7DD6" w:rsidRPr="00E33CEC" w:rsidRDefault="001B7DD6" w:rsidP="00E33CEC">
      <w:pPr>
        <w:ind w:left="567" w:hanging="567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6.6. Similitud entre las estructuras presupuestarias local y federal: Ley de Contabilidad Gubernamental.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lastRenderedPageBreak/>
        <w:t>MÓDULO VII. Poder Legislativo en la Fiscalización del Gasto de Estados y Municipios.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7.1. Rendición de cuentas, transparencia, gobierno abierto y acceso a la información pública en un régimen democrático.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7.2. Régimen de rendición de cuentas</w:t>
      </w:r>
    </w:p>
    <w:p w:rsidR="001B7DD6" w:rsidRPr="00E33CEC" w:rsidRDefault="001B7DD6" w:rsidP="00E33CEC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7.2.1. Estados </w:t>
      </w:r>
    </w:p>
    <w:p w:rsidR="001B7DD6" w:rsidRPr="00E33CEC" w:rsidRDefault="001B7DD6" w:rsidP="00E33CEC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7.2.2. Municipios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7.3. Proceso de fiscalización Local</w:t>
      </w:r>
    </w:p>
    <w:p w:rsidR="001B7DD6" w:rsidRPr="00E33CEC" w:rsidRDefault="001B7DD6" w:rsidP="00E33CEC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7.3.1. Revisión de las cuentas locales  </w:t>
      </w:r>
    </w:p>
    <w:p w:rsidR="001B7DD6" w:rsidRPr="00E33CEC" w:rsidRDefault="001B7DD6" w:rsidP="00E33CEC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7.3.2. Fundamento constitucional</w:t>
      </w:r>
    </w:p>
    <w:p w:rsidR="001B7DD6" w:rsidRPr="00E33CEC" w:rsidRDefault="001B7DD6" w:rsidP="00E33CEC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7.3.3. Situación actual y perspectivas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MÓDULO VIII. Poder Legislativo y Régimen de Responsabilidades de los Servidores Públicos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ind w:right="49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8. Introducción </w:t>
      </w:r>
    </w:p>
    <w:p w:rsidR="001B7DD6" w:rsidRPr="00E33CEC" w:rsidRDefault="001B7DD6" w:rsidP="00E33CEC">
      <w:pPr>
        <w:ind w:left="708" w:right="49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8.1. Concepto de responsabilidad </w:t>
      </w:r>
    </w:p>
    <w:p w:rsidR="001B7DD6" w:rsidRPr="00E33CEC" w:rsidRDefault="001B7DD6" w:rsidP="00E33CEC">
      <w:pPr>
        <w:ind w:left="708" w:right="49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8.2. Antecedentes históricos y legislativos de los regímenes de responsabilidades de los servidores públicos de tipo represivo</w:t>
      </w:r>
    </w:p>
    <w:p w:rsidR="001B7DD6" w:rsidRPr="00E33CEC" w:rsidRDefault="001B7DD6" w:rsidP="00E33CEC">
      <w:pPr>
        <w:ind w:left="708" w:right="49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8.3. Desarrollo del marco constitucional y legal del régimen de responsabilidades de los servidores públicos de tipo represivo </w:t>
      </w:r>
    </w:p>
    <w:p w:rsidR="001B7DD6" w:rsidRPr="00E33CEC" w:rsidRDefault="001B7DD6" w:rsidP="00E33CEC">
      <w:pPr>
        <w:ind w:left="708" w:right="49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8.4. Antecedentes históricos y legislación de los regímenes de responsabilidades de los servidores públicos de tipo resarcitorio </w:t>
      </w:r>
    </w:p>
    <w:p w:rsidR="001B7DD6" w:rsidRPr="00E33CEC" w:rsidRDefault="001B7DD6" w:rsidP="00E33CEC">
      <w:pPr>
        <w:ind w:left="708" w:right="49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8.5. El caso del Presidente de la República; y su regulación en países de Centroamérica, Sudamérica y el Caribe.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lastRenderedPageBreak/>
        <w:t>MÓDULO IX. Proceso y Técnica Legislativa en anteproyectos y proyectos de ley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9.1. Proceso de producción legislativa local.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9.2. Metodología de la técnica legislativa,</w:t>
      </w:r>
    </w:p>
    <w:p w:rsidR="001B7DD6" w:rsidRPr="00E33CEC" w:rsidRDefault="001B7DD6" w:rsidP="00E33CEC">
      <w:pPr>
        <w:pStyle w:val="Prrafodelista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9.2.1. Argumentación legislativa.</w:t>
      </w:r>
    </w:p>
    <w:p w:rsidR="001B7DD6" w:rsidRPr="00E33CEC" w:rsidRDefault="001B7DD6" w:rsidP="00E33CEC">
      <w:pPr>
        <w:pStyle w:val="Prrafodelista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9.2.2. Análisis del discurso. </w:t>
      </w:r>
    </w:p>
    <w:p w:rsidR="001B7DD6" w:rsidRPr="00E33CEC" w:rsidRDefault="001B7DD6" w:rsidP="00E33CEC">
      <w:pPr>
        <w:pStyle w:val="Prrafodelista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9.2.3. Racionalidad en la producción legislativa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9.3. Trascendencia de un programa de técnica legislativa para México</w:t>
      </w:r>
    </w:p>
    <w:p w:rsidR="001B7DD6" w:rsidRPr="00E33CEC" w:rsidRDefault="001B7DD6" w:rsidP="00E33CEC">
      <w:pPr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MÓDULO X. Derecho Municipal.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10.1. Aspectos doctrinales del municipio.</w:t>
      </w:r>
    </w:p>
    <w:p w:rsidR="001B7DD6" w:rsidRPr="00E33CEC" w:rsidRDefault="001B7DD6" w:rsidP="00E33CEC">
      <w:pPr>
        <w:autoSpaceDE w:val="0"/>
        <w:autoSpaceDN w:val="0"/>
        <w:adjustRightInd w:val="0"/>
        <w:ind w:firstLine="70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10.1.1. Escuela sociológica o iusnaturalista</w:t>
      </w:r>
    </w:p>
    <w:p w:rsidR="001B7DD6" w:rsidRPr="00E33CEC" w:rsidRDefault="001B7DD6" w:rsidP="00E33CEC">
      <w:pPr>
        <w:autoSpaceDE w:val="0"/>
        <w:autoSpaceDN w:val="0"/>
        <w:adjustRightInd w:val="0"/>
        <w:ind w:firstLine="708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10.1.2. Legalista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           10.1.3. Economicista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 xml:space="preserve">       10.1.4. Administrativista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10.2. El Estado federal Mexicano y el Municipio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10.3. Gobierno municipal.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10.4. Municipio como autoridad.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10.5. Autonomía y reglamentación municipal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10.6. Administración pública municipal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10.7. Servicios públicos municipales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10.8. Hacienda pública municipal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10.9. Desarrollo urbano y el municipio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 10. Seguridad pública municipal</w:t>
      </w:r>
    </w:p>
    <w:p w:rsidR="001B7DD6" w:rsidRPr="00E33CEC" w:rsidRDefault="001B7DD6" w:rsidP="00E33CE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33CEC">
        <w:rPr>
          <w:rFonts w:ascii="Century Gothic" w:hAnsi="Century Gothic"/>
          <w:sz w:val="24"/>
          <w:szCs w:val="24"/>
        </w:rPr>
        <w:t>10.11. Desaparición de ayuntamientos, suspensión, revocación del mandato</w:t>
      </w:r>
    </w:p>
    <w:tbl>
      <w:tblPr>
        <w:tblStyle w:val="Tablaconcuadrcula"/>
        <w:tblW w:w="9469" w:type="dxa"/>
        <w:tblInd w:w="-5" w:type="dxa"/>
        <w:tblLook w:val="04A0" w:firstRow="1" w:lastRow="0" w:firstColumn="1" w:lastColumn="0" w:noHBand="0" w:noVBand="1"/>
      </w:tblPr>
      <w:tblGrid>
        <w:gridCol w:w="3778"/>
        <w:gridCol w:w="5691"/>
      </w:tblGrid>
      <w:tr w:rsidR="001B7DD6" w:rsidRPr="00E33CEC" w:rsidTr="00E33CEC">
        <w:tc>
          <w:tcPr>
            <w:tcW w:w="3778" w:type="dxa"/>
            <w:vAlign w:val="center"/>
          </w:tcPr>
          <w:p w:rsidR="001B7DD6" w:rsidRPr="00E33CEC" w:rsidRDefault="001B7DD6" w:rsidP="00E33CEC">
            <w:pPr>
              <w:pStyle w:val="Encabez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5691" w:type="dxa"/>
            <w:vAlign w:val="center"/>
          </w:tcPr>
          <w:p w:rsidR="001B7DD6" w:rsidRPr="00E33CEC" w:rsidRDefault="001B7DD6" w:rsidP="00E33CEC">
            <w:pPr>
              <w:pStyle w:val="Encabez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 xml:space="preserve">CALENDARIO </w:t>
            </w:r>
          </w:p>
          <w:p w:rsidR="001B7DD6" w:rsidRPr="00E33CEC" w:rsidRDefault="001B7DD6" w:rsidP="00E33CEC">
            <w:pPr>
              <w:pStyle w:val="Encabez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DIPLOMADO: “ESTADO Y PARLAMENTO”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3823"/>
        <w:gridCol w:w="5641"/>
      </w:tblGrid>
      <w:tr w:rsidR="001B7DD6" w:rsidRPr="00E33CEC" w:rsidTr="00E33CEC">
        <w:trPr>
          <w:trHeight w:val="618"/>
        </w:trPr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20 de febrero de 2016</w:t>
            </w:r>
          </w:p>
        </w:tc>
        <w:tc>
          <w:tcPr>
            <w:tcW w:w="5641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“Estado y Democracia”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 xml:space="preserve">Dr. Luis Mendoza Cruz </w:t>
            </w:r>
          </w:p>
        </w:tc>
      </w:tr>
      <w:tr w:rsidR="001B7DD6" w:rsidRPr="00E33CEC" w:rsidTr="00E33CEC">
        <w:trPr>
          <w:trHeight w:val="953"/>
        </w:trPr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27 de febrero 2016</w:t>
            </w:r>
          </w:p>
        </w:tc>
        <w:tc>
          <w:tcPr>
            <w:tcW w:w="5641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“Estado Contemporáneo y su contexto doctrinal”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Mtro. Jesús Serrano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Se anexa currículum.</w:t>
            </w:r>
          </w:p>
        </w:tc>
      </w:tr>
      <w:tr w:rsidR="001B7DD6" w:rsidRPr="00E33CEC" w:rsidTr="00E33CEC">
        <w:trPr>
          <w:trHeight w:val="962"/>
        </w:trPr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5 de marzo de 2016</w:t>
            </w:r>
          </w:p>
        </w:tc>
        <w:tc>
          <w:tcPr>
            <w:tcW w:w="5641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“Funciones Generales del Parlamento”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Mtro. Juan Carlos Cervantes Gómez</w:t>
            </w:r>
          </w:p>
        </w:tc>
      </w:tr>
      <w:tr w:rsidR="001B7DD6" w:rsidRPr="00E33CEC" w:rsidTr="00E33CEC">
        <w:trPr>
          <w:trHeight w:val="1103"/>
        </w:trPr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12 de marzo de 2016</w:t>
            </w:r>
          </w:p>
        </w:tc>
        <w:tc>
          <w:tcPr>
            <w:tcW w:w="5641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“Las Perspectivas Hemisféricas del Parlamento”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Dr. Juan Ramírez Marín</w:t>
            </w:r>
          </w:p>
        </w:tc>
      </w:tr>
      <w:tr w:rsidR="001B7DD6" w:rsidRPr="00E33CEC" w:rsidTr="00E33CEC">
        <w:trPr>
          <w:trHeight w:val="1416"/>
        </w:trPr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9 de abril de 2016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“La obligatoriedad de los Tratados Internacionales en Materia de Derechos Humanos para el Poder Legislativo”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Mtro. Oscar Uribe Benítez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7DD6" w:rsidRPr="00E33CEC" w:rsidTr="00E33CEC">
        <w:trPr>
          <w:trHeight w:val="1090"/>
        </w:trPr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16 de abril de 2016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“Las Finanzas Públicas Estatales y Municipales”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Investigador designado por el CEFP</w:t>
            </w:r>
          </w:p>
        </w:tc>
      </w:tr>
      <w:tr w:rsidR="001B7DD6" w:rsidRPr="00E33CEC" w:rsidTr="00E33CEC"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23 de abril de 2016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“El Poder Legislativo en la Fiscalización del Gasto de Estados y Municipios”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Dra. Cecilia Licona Vite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7DD6" w:rsidRPr="00E33CEC" w:rsidTr="00E33CEC"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30 de abril de 2016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“EL Poder Legislativo y el Régimen de Responsabilidades de los Servidores Públicos”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Mtro. Oscar Uribe Benítez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7DD6" w:rsidRPr="00E33CEC" w:rsidTr="00E33CEC"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7 de mayo de 2016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“Proceso y Técnica Legislativa en los anteproyectos y proyectos de ley”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 xml:space="preserve">Lic. Maricela </w:t>
            </w:r>
            <w:proofErr w:type="spellStart"/>
            <w:r w:rsidRPr="00E33CEC">
              <w:rPr>
                <w:rFonts w:ascii="Century Gothic" w:hAnsi="Century Gothic"/>
                <w:sz w:val="24"/>
                <w:szCs w:val="24"/>
              </w:rPr>
              <w:t>Gastelú</w:t>
            </w:r>
            <w:proofErr w:type="spellEnd"/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Se anexa currículum</w:t>
            </w:r>
          </w:p>
        </w:tc>
      </w:tr>
      <w:tr w:rsidR="001B7DD6" w:rsidRPr="00E33CEC" w:rsidTr="00E33CEC">
        <w:trPr>
          <w:trHeight w:val="1203"/>
        </w:trPr>
        <w:tc>
          <w:tcPr>
            <w:tcW w:w="3823" w:type="dxa"/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14 de mayo de 2016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“Derecho Municipal para servidores públicos”</w:t>
            </w:r>
          </w:p>
          <w:p w:rsidR="001B7DD6" w:rsidRPr="00E33CEC" w:rsidRDefault="001B7DD6" w:rsidP="00E33C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3CEC">
              <w:rPr>
                <w:rFonts w:ascii="Century Gothic" w:hAnsi="Century Gothic"/>
                <w:sz w:val="24"/>
                <w:szCs w:val="24"/>
              </w:rPr>
              <w:t>Mtro. Luis Enrique García</w:t>
            </w:r>
          </w:p>
        </w:tc>
      </w:tr>
    </w:tbl>
    <w:p w:rsidR="001B7DD6" w:rsidRDefault="001B7DD6" w:rsidP="00E33CEC">
      <w:pPr>
        <w:pStyle w:val="Prrafodelista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E33CEC" w:rsidRDefault="00E33CEC" w:rsidP="00E33CEC">
      <w:pPr>
        <w:pStyle w:val="Prrafodelista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E33CEC" w:rsidRDefault="00E33CEC" w:rsidP="00E33CEC">
      <w:pPr>
        <w:pStyle w:val="Prrafodelista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E33CEC" w:rsidRDefault="00E33CEC" w:rsidP="00E33CEC">
      <w:pPr>
        <w:pStyle w:val="Prrafodelista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E33CEC" w:rsidRDefault="00E33CEC" w:rsidP="00E33CEC">
      <w:pPr>
        <w:pStyle w:val="Prrafodelista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E33CEC" w:rsidSect="00CD5393">
      <w:headerReference w:type="default" r:id="rId8"/>
      <w:type w:val="continuous"/>
      <w:pgSz w:w="12240" w:h="15840" w:code="1"/>
      <w:pgMar w:top="1418" w:right="1701" w:bottom="1276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86" w:rsidRDefault="00687F86" w:rsidP="008F50AB">
      <w:pPr>
        <w:spacing w:after="0" w:line="240" w:lineRule="auto"/>
      </w:pPr>
      <w:r>
        <w:separator/>
      </w:r>
    </w:p>
  </w:endnote>
  <w:endnote w:type="continuationSeparator" w:id="0">
    <w:p w:rsidR="00687F86" w:rsidRDefault="00687F86" w:rsidP="008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86" w:rsidRDefault="00687F86" w:rsidP="008F50AB">
      <w:pPr>
        <w:spacing w:after="0" w:line="240" w:lineRule="auto"/>
      </w:pPr>
      <w:r>
        <w:separator/>
      </w:r>
    </w:p>
  </w:footnote>
  <w:footnote w:type="continuationSeparator" w:id="0">
    <w:p w:rsidR="00687F86" w:rsidRDefault="00687F86" w:rsidP="008F50AB">
      <w:pPr>
        <w:spacing w:after="0" w:line="240" w:lineRule="auto"/>
      </w:pPr>
      <w:r>
        <w:continuationSeparator/>
      </w:r>
    </w:p>
  </w:footnote>
  <w:footnote w:id="1">
    <w:p w:rsidR="001B7DD6" w:rsidRPr="007D0032" w:rsidRDefault="001B7DD6" w:rsidP="001B7DD6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Diego </w:t>
      </w:r>
      <w:proofErr w:type="spellStart"/>
      <w:r>
        <w:rPr>
          <w:lang w:val="es-ES_tradnl"/>
        </w:rPr>
        <w:t>Valadés</w:t>
      </w:r>
      <w:proofErr w:type="spellEnd"/>
      <w:r>
        <w:rPr>
          <w:lang w:val="es-ES_tradnl"/>
        </w:rPr>
        <w:t xml:space="preserve">, “La no aplicación de las normas y el estado de derecho”, </w:t>
      </w:r>
      <w:r>
        <w:rPr>
          <w:i/>
          <w:lang w:val="es-ES_tradnl"/>
        </w:rPr>
        <w:t>Boletín Mexicano de Derecho Comparado</w:t>
      </w:r>
      <w:r>
        <w:rPr>
          <w:lang w:val="es-ES_tradnl"/>
        </w:rPr>
        <w:t xml:space="preserve">, 103 (2002), biblio.juridicas.unam.mx, consultado el 26 de enero de 2014.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AB" w:rsidRDefault="00CD5393">
    <w:pPr>
      <w:pStyle w:val="Encabezado"/>
    </w:pPr>
    <w:r>
      <w:rPr>
        <w:rFonts w:ascii="Century Gothic" w:hAnsi="Century Gothic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2D046E59" wp14:editId="1E0A1158">
          <wp:simplePos x="0" y="0"/>
          <wp:positionH relativeFrom="column">
            <wp:posOffset>5119370</wp:posOffset>
          </wp:positionH>
          <wp:positionV relativeFrom="paragraph">
            <wp:posOffset>-315595</wp:posOffset>
          </wp:positionV>
          <wp:extent cx="462280" cy="59563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s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3481B9D" wp14:editId="005803D2">
          <wp:simplePos x="0" y="0"/>
          <wp:positionH relativeFrom="column">
            <wp:posOffset>3620135</wp:posOffset>
          </wp:positionH>
          <wp:positionV relativeFrom="paragraph">
            <wp:posOffset>-240665</wp:posOffset>
          </wp:positionV>
          <wp:extent cx="1050925" cy="467995"/>
          <wp:effectExtent l="0" t="0" r="0" b="825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4B974218" wp14:editId="04CF630A">
          <wp:simplePos x="0" y="0"/>
          <wp:positionH relativeFrom="column">
            <wp:posOffset>22860</wp:posOffset>
          </wp:positionH>
          <wp:positionV relativeFrom="paragraph">
            <wp:posOffset>-315595</wp:posOffset>
          </wp:positionV>
          <wp:extent cx="651510" cy="65151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X Legislatura_Estado de Méxi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0AB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945"/>
    <w:multiLevelType w:val="multilevel"/>
    <w:tmpl w:val="8C0658C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b w:val="0"/>
      </w:rPr>
    </w:lvl>
  </w:abstractNum>
  <w:abstractNum w:abstractNumId="1">
    <w:nsid w:val="1E8E521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FB75D9"/>
    <w:multiLevelType w:val="multilevel"/>
    <w:tmpl w:val="C1520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BC56B1"/>
    <w:multiLevelType w:val="multilevel"/>
    <w:tmpl w:val="1D8A8F9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386E07D1"/>
    <w:multiLevelType w:val="hybridMultilevel"/>
    <w:tmpl w:val="0A1ACD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FC169E"/>
    <w:multiLevelType w:val="hybridMultilevel"/>
    <w:tmpl w:val="4E3E1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93A92"/>
    <w:multiLevelType w:val="hybridMultilevel"/>
    <w:tmpl w:val="8806B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C14F4"/>
    <w:multiLevelType w:val="multilevel"/>
    <w:tmpl w:val="F5E02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DF"/>
    <w:rsid w:val="0000313E"/>
    <w:rsid w:val="00007406"/>
    <w:rsid w:val="00013ED2"/>
    <w:rsid w:val="00062599"/>
    <w:rsid w:val="00066C27"/>
    <w:rsid w:val="00070963"/>
    <w:rsid w:val="000C7524"/>
    <w:rsid w:val="000E101C"/>
    <w:rsid w:val="001B7DD6"/>
    <w:rsid w:val="002347EA"/>
    <w:rsid w:val="00235553"/>
    <w:rsid w:val="00272C82"/>
    <w:rsid w:val="002A4E34"/>
    <w:rsid w:val="0032183C"/>
    <w:rsid w:val="00335721"/>
    <w:rsid w:val="003835F9"/>
    <w:rsid w:val="00385F5A"/>
    <w:rsid w:val="003D6480"/>
    <w:rsid w:val="00532379"/>
    <w:rsid w:val="005C02FC"/>
    <w:rsid w:val="00687F86"/>
    <w:rsid w:val="00722FD2"/>
    <w:rsid w:val="0074510D"/>
    <w:rsid w:val="00763944"/>
    <w:rsid w:val="007B0DF3"/>
    <w:rsid w:val="007F066E"/>
    <w:rsid w:val="00815C8D"/>
    <w:rsid w:val="00821E26"/>
    <w:rsid w:val="00832F46"/>
    <w:rsid w:val="008D01B4"/>
    <w:rsid w:val="008D1944"/>
    <w:rsid w:val="008F50AB"/>
    <w:rsid w:val="009B01D2"/>
    <w:rsid w:val="00B9648B"/>
    <w:rsid w:val="00C63263"/>
    <w:rsid w:val="00CB45C7"/>
    <w:rsid w:val="00CD5393"/>
    <w:rsid w:val="00D22B2D"/>
    <w:rsid w:val="00D3158D"/>
    <w:rsid w:val="00DD1527"/>
    <w:rsid w:val="00DF094B"/>
    <w:rsid w:val="00E33CEC"/>
    <w:rsid w:val="00E45945"/>
    <w:rsid w:val="00E56245"/>
    <w:rsid w:val="00EB36DF"/>
    <w:rsid w:val="00F362EC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24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C75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75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75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75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75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752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752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C75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75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75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0C7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0C7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rsid w:val="000C7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C75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rsid w:val="000C7524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Epgrafe">
    <w:name w:val="caption"/>
    <w:basedOn w:val="Normal"/>
    <w:next w:val="Normal"/>
    <w:uiPriority w:val="35"/>
    <w:unhideWhenUsed/>
    <w:qFormat/>
    <w:rsid w:val="000C7524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C75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C75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Textoennegrita">
    <w:name w:val="Strong"/>
    <w:uiPriority w:val="22"/>
    <w:qFormat/>
    <w:rsid w:val="000C7524"/>
    <w:rPr>
      <w:b/>
      <w:bCs/>
      <w:spacing w:val="0"/>
    </w:rPr>
  </w:style>
  <w:style w:type="paragraph" w:styleId="Sinespaciado">
    <w:name w:val="No Spacing"/>
    <w:basedOn w:val="Normal"/>
    <w:uiPriority w:val="1"/>
    <w:qFormat/>
    <w:rsid w:val="000C7524"/>
    <w:pPr>
      <w:spacing w:after="0"/>
    </w:pPr>
  </w:style>
  <w:style w:type="paragraph" w:styleId="Prrafodelista">
    <w:name w:val="List Paragraph"/>
    <w:basedOn w:val="Normal"/>
    <w:uiPriority w:val="34"/>
    <w:qFormat/>
    <w:rsid w:val="000C752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0C7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75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75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C75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75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fasis">
    <w:name w:val="Emphasis"/>
    <w:uiPriority w:val="20"/>
    <w:qFormat/>
    <w:rsid w:val="000C75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">
    <w:name w:val="Quote"/>
    <w:basedOn w:val="Normal"/>
    <w:next w:val="Normal"/>
    <w:link w:val="CitaCar"/>
    <w:uiPriority w:val="29"/>
    <w:qFormat/>
    <w:rsid w:val="000C7524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0C7524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75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75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0C75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0C75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0C7524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0C7524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0C75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7524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B964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B964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F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AB"/>
    <w:rPr>
      <w:rFonts w:ascii="Tahoma" w:hAnsi="Tahoma" w:cs="Tahoma"/>
      <w:i/>
      <w:i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0AB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0AB"/>
    <w:rPr>
      <w:i/>
      <w:i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1B7DD6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B7DD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rsid w:val="001B7DD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7DD6"/>
    <w:pPr>
      <w:spacing w:after="324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7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24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C75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75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75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75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75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752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752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C75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75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75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0C7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0C7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rsid w:val="000C7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C75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rsid w:val="000C7524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Epgrafe">
    <w:name w:val="caption"/>
    <w:basedOn w:val="Normal"/>
    <w:next w:val="Normal"/>
    <w:uiPriority w:val="35"/>
    <w:unhideWhenUsed/>
    <w:qFormat/>
    <w:rsid w:val="000C7524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C75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C75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Textoennegrita">
    <w:name w:val="Strong"/>
    <w:uiPriority w:val="22"/>
    <w:qFormat/>
    <w:rsid w:val="000C7524"/>
    <w:rPr>
      <w:b/>
      <w:bCs/>
      <w:spacing w:val="0"/>
    </w:rPr>
  </w:style>
  <w:style w:type="paragraph" w:styleId="Sinespaciado">
    <w:name w:val="No Spacing"/>
    <w:basedOn w:val="Normal"/>
    <w:uiPriority w:val="1"/>
    <w:qFormat/>
    <w:rsid w:val="000C7524"/>
    <w:pPr>
      <w:spacing w:after="0"/>
    </w:pPr>
  </w:style>
  <w:style w:type="paragraph" w:styleId="Prrafodelista">
    <w:name w:val="List Paragraph"/>
    <w:basedOn w:val="Normal"/>
    <w:uiPriority w:val="34"/>
    <w:qFormat/>
    <w:rsid w:val="000C752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0C7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75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75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C75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75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fasis">
    <w:name w:val="Emphasis"/>
    <w:uiPriority w:val="20"/>
    <w:qFormat/>
    <w:rsid w:val="000C75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">
    <w:name w:val="Quote"/>
    <w:basedOn w:val="Normal"/>
    <w:next w:val="Normal"/>
    <w:link w:val="CitaCar"/>
    <w:uiPriority w:val="29"/>
    <w:qFormat/>
    <w:rsid w:val="000C7524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0C7524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75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75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0C75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0C75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0C7524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0C7524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0C75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7524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B964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B964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F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AB"/>
    <w:rPr>
      <w:rFonts w:ascii="Tahoma" w:hAnsi="Tahoma" w:cs="Tahoma"/>
      <w:i/>
      <w:i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0AB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0AB"/>
    <w:rPr>
      <w:i/>
      <w:i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1B7DD6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B7DD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rsid w:val="001B7DD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7DD6"/>
    <w:pPr>
      <w:spacing w:after="324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7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2016-02-17T20:23:00Z</cp:lastPrinted>
  <dcterms:created xsi:type="dcterms:W3CDTF">2016-02-17T17:59:00Z</dcterms:created>
  <dcterms:modified xsi:type="dcterms:W3CDTF">2016-02-17T20:26:00Z</dcterms:modified>
</cp:coreProperties>
</file>